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85062">
      <w:pPr>
        <w:widowControl/>
        <w:jc w:val="left"/>
        <w:rPr>
          <w:rFonts w:ascii="黑体" w:hAnsi="宋体" w:eastAsia="黑体" w:cs="黑体"/>
          <w:color w:val="000000"/>
          <w:kern w:val="0"/>
          <w:sz w:val="36"/>
          <w:szCs w:val="36"/>
        </w:rPr>
      </w:pPr>
      <w:r>
        <w:rPr>
          <w:rFonts w:hint="eastAsia" w:ascii="黑体" w:hAnsi="宋体" w:eastAsia="黑体" w:cs="黑体"/>
          <w:color w:val="000000"/>
          <w:kern w:val="0"/>
          <w:sz w:val="36"/>
          <w:szCs w:val="36"/>
        </w:rPr>
        <w:t xml:space="preserve">            农业企业优秀科技成果申请表</w:t>
      </w:r>
    </w:p>
    <w:tbl>
      <w:tblPr>
        <w:tblStyle w:val="8"/>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2386"/>
        <w:gridCol w:w="1464"/>
        <w:gridCol w:w="501"/>
        <w:gridCol w:w="1319"/>
        <w:gridCol w:w="1843"/>
      </w:tblGrid>
      <w:tr w14:paraId="633D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2" w:type="dxa"/>
            <w:vAlign w:val="center"/>
          </w:tcPr>
          <w:p w14:paraId="3C1412F8">
            <w:pPr>
              <w:widowControl/>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成果名称</w:t>
            </w:r>
          </w:p>
        </w:tc>
        <w:tc>
          <w:tcPr>
            <w:tcW w:w="7513" w:type="dxa"/>
            <w:gridSpan w:val="5"/>
          </w:tcPr>
          <w:p w14:paraId="630E5CC9">
            <w:pPr>
              <w:widowControl/>
              <w:jc w:val="left"/>
              <w:rPr>
                <w:rFonts w:ascii="黑体" w:hAnsi="宋体" w:eastAsia="黑体" w:cs="黑体"/>
                <w:color w:val="000000"/>
                <w:kern w:val="0"/>
                <w:sz w:val="32"/>
                <w:szCs w:val="32"/>
              </w:rPr>
            </w:pPr>
            <w:r>
              <w:rPr>
                <w:rFonts w:hint="eastAsia" w:ascii="黑体" w:hAnsi="宋体" w:eastAsia="黑体" w:cs="黑体"/>
                <w:color w:val="000000"/>
                <w:kern w:val="0"/>
                <w:sz w:val="32"/>
                <w:szCs w:val="32"/>
              </w:rPr>
              <w:t>新型饲料添加剂</w:t>
            </w:r>
            <w:r>
              <w:rPr>
                <w:rFonts w:hint="eastAsia" w:ascii="黑体" w:hAnsi="宋体" w:eastAsia="黑体" w:cs="黑体"/>
                <w:color w:val="000000"/>
                <w:kern w:val="0"/>
                <w:sz w:val="32"/>
                <w:szCs w:val="32"/>
                <w:lang w:val="en-US" w:eastAsia="zh-CN"/>
              </w:rPr>
              <w:t>*****</w:t>
            </w:r>
            <w:r>
              <w:rPr>
                <w:rFonts w:hint="eastAsia" w:ascii="黑体" w:hAnsi="宋体" w:eastAsia="黑体" w:cs="黑体"/>
                <w:color w:val="000000"/>
                <w:kern w:val="0"/>
                <w:sz w:val="32"/>
                <w:szCs w:val="32"/>
              </w:rPr>
              <w:t>研发</w:t>
            </w:r>
          </w:p>
        </w:tc>
      </w:tr>
      <w:tr w14:paraId="7F30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2" w:type="dxa"/>
            <w:vAlign w:val="center"/>
          </w:tcPr>
          <w:p w14:paraId="72ED56A4">
            <w:pPr>
              <w:widowControl/>
              <w:adjustRightInd w:val="0"/>
              <w:snapToGrid w:val="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完成单位</w:t>
            </w:r>
          </w:p>
        </w:tc>
        <w:tc>
          <w:tcPr>
            <w:tcW w:w="3850" w:type="dxa"/>
            <w:gridSpan w:val="2"/>
          </w:tcPr>
          <w:p w14:paraId="3C42C195">
            <w:pPr>
              <w:widowControl/>
              <w:adjustRightInd w:val="0"/>
              <w:snapToGrid w:val="0"/>
              <w:jc w:val="left"/>
              <w:rPr>
                <w:rFonts w:hint="default"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lang w:val="en-US" w:eastAsia="zh-CN"/>
              </w:rPr>
              <w:t>浙江***科技有限公司</w:t>
            </w:r>
          </w:p>
        </w:tc>
        <w:tc>
          <w:tcPr>
            <w:tcW w:w="1820" w:type="dxa"/>
            <w:gridSpan w:val="2"/>
            <w:vAlign w:val="center"/>
          </w:tcPr>
          <w:p w14:paraId="71BE4690">
            <w:pPr>
              <w:widowControl/>
              <w:adjustRightInd w:val="0"/>
              <w:snapToGrid w:val="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完成人</w:t>
            </w:r>
          </w:p>
        </w:tc>
        <w:tc>
          <w:tcPr>
            <w:tcW w:w="1843" w:type="dxa"/>
          </w:tcPr>
          <w:p w14:paraId="172786B4">
            <w:pPr>
              <w:widowControl/>
              <w:jc w:val="left"/>
              <w:rPr>
                <w:rFonts w:hint="default" w:ascii="黑体" w:hAnsi="宋体" w:eastAsia="黑体" w:cs="黑体"/>
                <w:color w:val="000000"/>
                <w:kern w:val="0"/>
                <w:sz w:val="32"/>
                <w:szCs w:val="32"/>
                <w:lang w:val="en-US"/>
              </w:rPr>
            </w:pPr>
            <w:r>
              <w:rPr>
                <w:rFonts w:hint="eastAsia" w:ascii="黑体" w:hAnsi="宋体" w:eastAsia="黑体" w:cs="黑体"/>
                <w:color w:val="000000"/>
                <w:kern w:val="0"/>
                <w:sz w:val="32"/>
                <w:szCs w:val="32"/>
                <w:lang w:val="en-US" w:eastAsia="zh-CN"/>
              </w:rPr>
              <w:t>马**、金**、满**</w:t>
            </w:r>
          </w:p>
        </w:tc>
      </w:tr>
      <w:tr w14:paraId="6BFE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2" w:type="dxa"/>
            <w:vAlign w:val="center"/>
          </w:tcPr>
          <w:p w14:paraId="3F92E75C">
            <w:pPr>
              <w:widowControl/>
              <w:adjustRightInd w:val="0"/>
              <w:snapToGrid w:val="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联系地址</w:t>
            </w:r>
          </w:p>
        </w:tc>
        <w:tc>
          <w:tcPr>
            <w:tcW w:w="4351" w:type="dxa"/>
            <w:gridSpan w:val="3"/>
          </w:tcPr>
          <w:p w14:paraId="31E23B53">
            <w:pPr>
              <w:widowControl/>
              <w:adjustRightInd w:val="0"/>
              <w:snapToGrid w:val="0"/>
              <w:jc w:val="left"/>
              <w:rPr>
                <w:rFonts w:hint="default"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lang w:eastAsia="zh-CN"/>
              </w:rPr>
              <w:t>浙江省宁波市</w:t>
            </w:r>
            <w:r>
              <w:rPr>
                <w:rFonts w:hint="eastAsia" w:ascii="黑体" w:hAnsi="宋体" w:eastAsia="黑体" w:cs="黑体"/>
                <w:color w:val="000000"/>
                <w:kern w:val="0"/>
                <w:sz w:val="32"/>
                <w:szCs w:val="32"/>
                <w:lang w:val="en-US" w:eastAsia="zh-CN"/>
              </w:rPr>
              <w:t>*****</w:t>
            </w:r>
          </w:p>
        </w:tc>
        <w:tc>
          <w:tcPr>
            <w:tcW w:w="1319" w:type="dxa"/>
            <w:vAlign w:val="center"/>
          </w:tcPr>
          <w:p w14:paraId="4E3D6F94">
            <w:pPr>
              <w:widowControl/>
              <w:adjustRightInd w:val="0"/>
              <w:snapToGrid w:val="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联系人及手机</w:t>
            </w:r>
          </w:p>
        </w:tc>
        <w:tc>
          <w:tcPr>
            <w:tcW w:w="1843" w:type="dxa"/>
          </w:tcPr>
          <w:p w14:paraId="7D1F2588">
            <w:pPr>
              <w:widowControl/>
              <w:adjustRightInd w:val="0"/>
              <w:snapToGrid w:val="0"/>
              <w:jc w:val="left"/>
              <w:rPr>
                <w:rFonts w:hint="default"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lang w:val="en-US" w:eastAsia="zh-CN"/>
              </w:rPr>
              <w:t>满***，159*****68</w:t>
            </w:r>
          </w:p>
        </w:tc>
      </w:tr>
      <w:tr w14:paraId="77AC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2" w:type="dxa"/>
          </w:tcPr>
          <w:p w14:paraId="13AE5915">
            <w:pPr>
              <w:widowControl/>
              <w:adjustRightInd w:val="0"/>
              <w:snapToGrid w:val="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成果研究</w:t>
            </w:r>
          </w:p>
          <w:p w14:paraId="7A45FAD8">
            <w:pPr>
              <w:widowControl/>
              <w:adjustRightInd w:val="0"/>
              <w:snapToGrid w:val="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起始时间</w:t>
            </w:r>
          </w:p>
        </w:tc>
        <w:tc>
          <w:tcPr>
            <w:tcW w:w="2386" w:type="dxa"/>
          </w:tcPr>
          <w:p w14:paraId="3C5CF129">
            <w:pPr>
              <w:widowControl/>
              <w:adjustRightInd w:val="0"/>
              <w:snapToGrid w:val="0"/>
              <w:jc w:val="left"/>
              <w:rPr>
                <w:rFonts w:hint="default"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lang w:val="en-US" w:eastAsia="zh-CN"/>
              </w:rPr>
              <w:t>2017年12月--2024年4月</w:t>
            </w:r>
          </w:p>
        </w:tc>
        <w:tc>
          <w:tcPr>
            <w:tcW w:w="1965" w:type="dxa"/>
            <w:gridSpan w:val="2"/>
            <w:vAlign w:val="center"/>
          </w:tcPr>
          <w:p w14:paraId="182FFC36">
            <w:pPr>
              <w:widowControl/>
              <w:adjustRightInd w:val="0"/>
              <w:snapToGrid w:val="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成果评价</w:t>
            </w:r>
          </w:p>
          <w:p w14:paraId="2A069B50">
            <w:pPr>
              <w:widowControl/>
              <w:adjustRightInd w:val="0"/>
              <w:snapToGrid w:val="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单位及时间</w:t>
            </w:r>
          </w:p>
        </w:tc>
        <w:tc>
          <w:tcPr>
            <w:tcW w:w="3162" w:type="dxa"/>
            <w:gridSpan w:val="2"/>
          </w:tcPr>
          <w:p w14:paraId="33C8F61E">
            <w:pPr>
              <w:widowControl/>
              <w:adjustRightInd w:val="0"/>
              <w:snapToGrid w:val="0"/>
              <w:jc w:val="left"/>
              <w:rPr>
                <w:rFonts w:hint="default"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rPr>
              <w:t>中国老科学技术工作者协会农业分会</w:t>
            </w:r>
            <w:r>
              <w:rPr>
                <w:rFonts w:hint="eastAsia" w:ascii="黑体" w:hAnsi="宋体" w:eastAsia="黑体" w:cs="黑体"/>
                <w:color w:val="000000"/>
                <w:kern w:val="0"/>
                <w:sz w:val="32"/>
                <w:szCs w:val="32"/>
                <w:lang w:val="en-US" w:eastAsia="zh-CN"/>
              </w:rPr>
              <w:t xml:space="preserve"> 2024年9月7日</w:t>
            </w:r>
          </w:p>
        </w:tc>
      </w:tr>
      <w:tr w14:paraId="0304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702" w:type="dxa"/>
            <w:vAlign w:val="center"/>
          </w:tcPr>
          <w:p w14:paraId="29994A88">
            <w:pPr>
              <w:widowControl/>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成果简介</w:t>
            </w:r>
          </w:p>
        </w:tc>
        <w:tc>
          <w:tcPr>
            <w:tcW w:w="7513" w:type="dxa"/>
            <w:gridSpan w:val="5"/>
          </w:tcPr>
          <w:p w14:paraId="442BA7B7">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本研制工作是基于近20年的研发历程，以生物质规模化生产的大宗商品果糖为原料，通过“酸催化+溶剂场”工艺脱水制备HMF。针对当前糖脱水制HMF反应中存在的多个关键问题所导致的难以工业化难题，创新地采用四乙基溴化铵（TEAB）和水形成低共熔溶剂，大幅增加糖原料溶解性和活化程度；采用与 Amberlyst-15 活性官能团结构相近的甲基磺酸作为酸催化剂，高选择性地将果糖转化为 HMF，产率≥90%；采用减压条件原位脱除生成的水，减少胡敏素的生成量，同时加快反应速率和降低反应温度；临近终点快速淬灭反应，采用乙酸 </w:t>
            </w:r>
          </w:p>
          <w:p w14:paraId="2F4E9CA7">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乙酯将 HMF 与酸催化剂快速分离，避免 HMF 降解进而提高产品收率。通过系统性解决 HMF 放大生产中的诸多问题，最终实现年产10000吨的HMF 生产，产品纯度≥99%，生产成本可降至欧美同行的 1/20。本项目所开发的HMF生产工艺，可为我国生物质高效利用和规模生产提供理论指导和备选技术，也可为分子结构特征相同的糖类催化转化提供创新理论和工程技术参考。 </w:t>
            </w:r>
          </w:p>
          <w:p w14:paraId="0358CE2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5-羟甲基糠醛（5-HMF）是一种天然的食品色素，具有黄色到红棕色的颜色，可以用于染色食品，如面包、糕点和饼干，以增加它们的色泽。此外，5-HMF 还可以作为食品添加剂，用于增加食品的香气和口感。在食品工业中，5-HMF 作为一种无毒、无害的食品添加剂，可以作为食品的防腐剂和色素添加剂。例如，在食品的焦糖化制备过程中，5-HMF 可以使食品具有浓郁的焦糖味，并且增加食品的色泽和稳定性。 </w:t>
            </w:r>
          </w:p>
          <w:p w14:paraId="3CF0CA65">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此外，5-HMF 在医疗、化学、农业和食品行业中也有重要的应用价值。它具有一定的抗氧化和抗肿瘤功能，可以用于治疗癌症、心血管疾病和神经系统疾病。在化学和农业领域，5-HMF 作为一种重要的有机化学物质，可以参与多种化学反应，作为杀虫剂、防腐剂、杀菌剂等的原料。</w:t>
            </w:r>
          </w:p>
          <w:p w14:paraId="0A431608">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羟甲基糠醛在动物养殖中安全有效性和应用效果评价至今未有系统的研究。本项目首次通过蛋鸡饲养试验验证了5-羟甲基糠醛作为潜在的饲料添加剂对蛋鸡的安全性、有效性及其对脂肪代谢的调控作用机制，研究结果表明，长期饲喂5-羟甲基糠醛可以有效提高蛋鸡的产蛋率，提高饲料转化率，对蛋品质有一定的改善作用；可以调节血清中抗炎因子、抗氧化物等的浓度，降低丙二醛的浓度，减少动物体损伤、氧化应激的发生。蛋鸡日粮中5-羟甲基糠醛添加量按照10mg/kg，每生产1公斤鸡蛋可节约0.08-0.1kg饲料，达到降本增效，提高动物源食品质量，改善并提高人们生活品质，更大意义在于保障粮食安全，实现更大的社会、经济与生态效益。</w:t>
            </w:r>
          </w:p>
          <w:p w14:paraId="44CB9469">
            <w:pPr>
              <w:pStyle w:val="2"/>
            </w:pPr>
          </w:p>
        </w:tc>
      </w:tr>
      <w:tr w14:paraId="0EE4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702" w:type="dxa"/>
            <w:vAlign w:val="center"/>
          </w:tcPr>
          <w:p w14:paraId="2929D7C2">
            <w:pPr>
              <w:widowControl/>
              <w:adjustRightInd w:val="0"/>
              <w:snapToGrid w:val="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主要科技</w:t>
            </w:r>
          </w:p>
          <w:p w14:paraId="3AFEAD4C">
            <w:pPr>
              <w:widowControl/>
              <w:adjustRightInd w:val="0"/>
              <w:snapToGrid w:val="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创新点</w:t>
            </w:r>
          </w:p>
        </w:tc>
        <w:tc>
          <w:tcPr>
            <w:tcW w:w="7513" w:type="dxa"/>
            <w:gridSpan w:val="5"/>
          </w:tcPr>
          <w:p w14:paraId="0E5CEB03">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本研究基于目前非粮生物质脱水制 HMF 由于反应中存在的各种问题无法大规模生产的现状，针对该反应中存在的多个关键问题，逐个解决工艺开发中出现的主要矛盾，并最终实现年产量为1000 吨的纯度≥99%的 5-羟甲基糠醛生产。在工艺开发过程中， </w:t>
            </w:r>
          </w:p>
          <w:p w14:paraId="2CE91526">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主要的创新点如下： </w:t>
            </w:r>
          </w:p>
          <w:p w14:paraId="194D8ED1">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（1）将 TEAB 与果糖在助溶剂水的协助下配置成低共熔溶剂，大幅增加果糖的溶解性和反应性能； </w:t>
            </w:r>
          </w:p>
          <w:p w14:paraId="0EC2106B">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（2）使用与 Amberlyst-15 活性官能团结构相近的甲基磺酸作为酸催化剂，能够高选择性地将果糖转化为 HMF，产率超过 90%； </w:t>
            </w:r>
          </w:p>
          <w:p w14:paraId="1DD1D221">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（3）在减压条件下将生成的水原位脱除，减少胡敏素的生成量，同时起到加快反应速率，降低反应问的的效果； </w:t>
            </w:r>
          </w:p>
          <w:p w14:paraId="69CA0FE2">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（4）使用水淬灭反应，并使用乙酸乙酯将 HMF 与酸催化剂快速分离，避免在后处理环节降解。 </w:t>
            </w:r>
          </w:p>
          <w:p w14:paraId="0F876965">
            <w:pPr>
              <w:keepNext w:val="0"/>
              <w:keepLines w:val="0"/>
              <w:widowControl/>
              <w:suppressLineNumbers w:val="0"/>
              <w:ind w:firstLine="560" w:firstLineChars="200"/>
              <w:jc w:val="left"/>
              <w:rPr>
                <w:rFonts w:ascii="黑体" w:hAnsi="宋体" w:eastAsia="黑体" w:cs="黑体"/>
                <w:color w:val="000000"/>
                <w:kern w:val="0"/>
                <w:sz w:val="32"/>
                <w:szCs w:val="32"/>
              </w:rPr>
            </w:pPr>
            <w:r>
              <w:rPr>
                <w:rFonts w:hint="eastAsia" w:ascii="宋体" w:hAnsi="宋体" w:eastAsia="宋体" w:cs="宋体"/>
                <w:color w:val="000000"/>
                <w:kern w:val="0"/>
                <w:sz w:val="28"/>
                <w:szCs w:val="28"/>
                <w:lang w:val="en-US" w:eastAsia="zh-CN" w:bidi="ar"/>
              </w:rPr>
              <w:t>（5）5-HMF 在农场动物中安全有效性和应用效果评价至今未有系统的研究。我们首次通过蛋鸡饲养试验验证了5-HMF 作为潜在的饲料添加剂对蛋鸡的安全性、有效性及其对脂肪代谢的调控作用机制，研究结果表明，长期饲喂 5-羟甲基糠醛可以有效提高蛋鸡的产蛋率，提高饲料转化率，对蛋品质有一定的改善作用；可以调节血清中抗炎因子、抗氧化物等的浓度，降低丙二醛的浓度，减少动物体损伤、氧化应激的发生。蛋鸡日粮中 5-羟甲基糠醛添加量按照 10mg/kg，每公斤鸡蛋可节约 0.08-0.1kg 饲料。</w:t>
            </w:r>
          </w:p>
        </w:tc>
      </w:tr>
      <w:tr w14:paraId="0B6F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1702" w:type="dxa"/>
            <w:vAlign w:val="center"/>
          </w:tcPr>
          <w:p w14:paraId="4A993A05">
            <w:pPr>
              <w:widowControl/>
              <w:adjustRightInd w:val="0"/>
              <w:snapToGrid w:val="0"/>
              <w:jc w:val="center"/>
              <w:rPr>
                <w:rFonts w:ascii="黑体" w:hAnsi="宋体" w:eastAsia="黑体" w:cs="黑体"/>
                <w:color w:val="000000"/>
                <w:kern w:val="0"/>
                <w:sz w:val="32"/>
                <w:szCs w:val="32"/>
              </w:rPr>
            </w:pPr>
            <w:r>
              <w:rPr>
                <w:rFonts w:ascii="黑体" w:hAnsi="宋体" w:eastAsia="黑体" w:cs="黑体"/>
                <w:color w:val="000000"/>
                <w:kern w:val="0"/>
                <w:sz w:val="32"/>
                <w:szCs w:val="32"/>
              </w:rPr>
              <w:t>推广应用情况</w:t>
            </w:r>
          </w:p>
        </w:tc>
        <w:tc>
          <w:tcPr>
            <w:tcW w:w="7513" w:type="dxa"/>
            <w:gridSpan w:val="5"/>
          </w:tcPr>
          <w:p w14:paraId="6083B175">
            <w:pPr>
              <w:keepNext w:val="0"/>
              <w:keepLines w:val="0"/>
              <w:widowControl/>
              <w:suppressLineNumbers w:val="0"/>
              <w:ind w:firstLine="560" w:firstLineChars="200"/>
              <w:jc w:val="left"/>
              <w:rPr>
                <w:rFonts w:hint="default"/>
                <w:sz w:val="32"/>
                <w:szCs w:val="32"/>
                <w:lang w:val="en-US"/>
              </w:rPr>
            </w:pPr>
            <w:r>
              <w:rPr>
                <w:rFonts w:hint="eastAsia" w:ascii="宋体" w:hAnsi="宋体" w:eastAsia="宋体" w:cs="宋体"/>
                <w:color w:val="auto"/>
                <w:kern w:val="0"/>
                <w:sz w:val="28"/>
                <w:szCs w:val="28"/>
                <w:lang w:val="en-US" w:eastAsia="zh-CN" w:bidi="ar"/>
              </w:rPr>
              <w:t>目前5-羟甲基糠醛产品已有在恒逸石化，大沽化工，米其林等国内外知名企业中得到应用和推广。应用反馈品质较优，较原先的产品具有品控稳定的优势，并进行多次采购，后面会继续加强合作。畜牧养殖领域，除了中国饲料工业中心在研究开发在养猪业应用方法外，各大养殖集团验证实验持续开展中。</w:t>
            </w:r>
          </w:p>
        </w:tc>
      </w:tr>
      <w:tr w14:paraId="5C7A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702" w:type="dxa"/>
            <w:vAlign w:val="center"/>
          </w:tcPr>
          <w:p w14:paraId="60E76894">
            <w:pPr>
              <w:adjustRightInd w:val="0"/>
              <w:snapToGrid w:val="0"/>
              <w:jc w:val="center"/>
              <w:rPr>
                <w:rFonts w:ascii="黑体" w:hAnsi="宋体" w:eastAsia="黑体" w:cs="黑体"/>
                <w:color w:val="000000"/>
                <w:kern w:val="0"/>
                <w:sz w:val="32"/>
                <w:szCs w:val="32"/>
              </w:rPr>
            </w:pPr>
            <w:r>
              <w:rPr>
                <w:rFonts w:ascii="黑体" w:hAnsi="宋体" w:eastAsia="黑体" w:cs="黑体"/>
                <w:color w:val="000000"/>
                <w:kern w:val="0"/>
                <w:sz w:val="32"/>
                <w:szCs w:val="32"/>
              </w:rPr>
              <w:t>社会经济效益</w:t>
            </w:r>
            <w:r>
              <w:rPr>
                <w:rFonts w:hint="eastAsia" w:ascii="黑体" w:hAnsi="宋体" w:eastAsia="黑体" w:cs="黑体"/>
                <w:color w:val="000000"/>
                <w:kern w:val="0"/>
                <w:sz w:val="32"/>
                <w:szCs w:val="32"/>
              </w:rPr>
              <w:t>情况</w:t>
            </w:r>
          </w:p>
        </w:tc>
        <w:tc>
          <w:tcPr>
            <w:tcW w:w="7513" w:type="dxa"/>
            <w:gridSpan w:val="5"/>
          </w:tcPr>
          <w:p w14:paraId="74E84FA3">
            <w:pPr>
              <w:keepNext w:val="0"/>
              <w:keepLines w:val="0"/>
              <w:widowControl/>
              <w:suppressLineNumbers w:val="0"/>
              <w:ind w:firstLine="560" w:firstLineChars="200"/>
              <w:jc w:val="left"/>
            </w:pPr>
            <w:r>
              <w:rPr>
                <w:rFonts w:hint="eastAsia" w:ascii="宋体" w:hAnsi="宋体" w:eastAsia="宋体" w:cs="宋体"/>
                <w:color w:val="000000"/>
                <w:kern w:val="0"/>
                <w:sz w:val="28"/>
                <w:szCs w:val="28"/>
                <w:lang w:val="en-US" w:eastAsia="zh-CN" w:bidi="ar"/>
              </w:rPr>
              <w:t xml:space="preserve">1.经济效益：目前国内的存栏在产蛋鸡达 12亿左右，年消耗饲料达6000万吨。如果全面添加 5HMF，则可节约 200-300 万吨饲料。每吨饲料按照4000元计算，节约总价值 80-120 亿元。仅是蛋鸡饲养效益已十分客观。 </w:t>
            </w:r>
          </w:p>
          <w:p w14:paraId="1CDE2B7F">
            <w:pPr>
              <w:keepNext w:val="0"/>
              <w:keepLines w:val="0"/>
              <w:widowControl/>
              <w:suppressLineNumbers w:val="0"/>
              <w:ind w:firstLine="560" w:firstLineChars="200"/>
              <w:jc w:val="left"/>
            </w:pPr>
            <w:r>
              <w:rPr>
                <w:rFonts w:hint="eastAsia" w:ascii="宋体" w:hAnsi="宋体" w:eastAsia="宋体" w:cs="宋体"/>
                <w:color w:val="000000"/>
                <w:kern w:val="0"/>
                <w:sz w:val="28"/>
                <w:szCs w:val="28"/>
                <w:lang w:val="en-US" w:eastAsia="zh-CN" w:bidi="ar"/>
              </w:rPr>
              <w:t xml:space="preserve">2.社会效益:如果把该产品推广到全国 5 亿吨饲料中，其社会效益价值极其巨大。 </w:t>
            </w:r>
          </w:p>
          <w:p w14:paraId="3F4E3424">
            <w:pPr>
              <w:keepNext w:val="0"/>
              <w:keepLines w:val="0"/>
              <w:widowControl/>
              <w:suppressLineNumbers w:val="0"/>
              <w:ind w:firstLine="560" w:firstLineChars="200"/>
              <w:jc w:val="left"/>
              <w:rPr>
                <w:sz w:val="32"/>
                <w:szCs w:val="32"/>
              </w:rPr>
            </w:pPr>
            <w:r>
              <w:rPr>
                <w:rFonts w:hint="eastAsia" w:ascii="宋体" w:hAnsi="宋体" w:eastAsia="宋体" w:cs="宋体"/>
                <w:color w:val="000000"/>
                <w:kern w:val="0"/>
                <w:sz w:val="28"/>
                <w:szCs w:val="28"/>
                <w:lang w:val="en-US" w:eastAsia="zh-CN" w:bidi="ar"/>
              </w:rPr>
              <w:t>3.生态效益：该产品所节约饲料产生的运输环节，节约大量汽柴油燃烧对空气的污染；其抗氧化作用提高动物机体健康，减少抗生素使用对土地的污染，属于环境友好型。</w:t>
            </w:r>
          </w:p>
        </w:tc>
      </w:tr>
      <w:tr w14:paraId="412A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702" w:type="dxa"/>
            <w:vAlign w:val="center"/>
          </w:tcPr>
          <w:p w14:paraId="515A41A2">
            <w:pPr>
              <w:rPr>
                <w:rFonts w:ascii="黑体" w:hAnsi="宋体" w:eastAsia="黑体" w:cs="黑体"/>
                <w:color w:val="000000"/>
                <w:kern w:val="0"/>
                <w:sz w:val="32"/>
                <w:szCs w:val="32"/>
              </w:rPr>
            </w:pPr>
            <w:r>
              <w:rPr>
                <w:rFonts w:hint="eastAsia" w:ascii="黑体" w:hAnsi="宋体" w:eastAsia="黑体" w:cs="黑体"/>
                <w:color w:val="000000"/>
                <w:kern w:val="0"/>
                <w:sz w:val="32"/>
                <w:szCs w:val="32"/>
              </w:rPr>
              <w:t>单位意见</w:t>
            </w:r>
          </w:p>
        </w:tc>
        <w:tc>
          <w:tcPr>
            <w:tcW w:w="7513" w:type="dxa"/>
            <w:gridSpan w:val="5"/>
          </w:tcPr>
          <w:p w14:paraId="6C1082D6">
            <w:pPr>
              <w:rPr>
                <w:sz w:val="32"/>
                <w:szCs w:val="32"/>
              </w:rPr>
            </w:pPr>
          </w:p>
          <w:p w14:paraId="3712B77A">
            <w:pPr>
              <w:rPr>
                <w:sz w:val="32"/>
                <w:szCs w:val="32"/>
              </w:rPr>
            </w:pPr>
            <w:r>
              <w:rPr>
                <w:rFonts w:hint="eastAsia"/>
                <w:sz w:val="32"/>
                <w:szCs w:val="32"/>
              </w:rPr>
              <w:t xml:space="preserve">                    （单位盖章） 年  月  日</w:t>
            </w:r>
          </w:p>
        </w:tc>
      </w:tr>
      <w:tr w14:paraId="281B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702" w:type="dxa"/>
            <w:vAlign w:val="center"/>
          </w:tcPr>
          <w:p w14:paraId="3B3F4386">
            <w:pPr>
              <w:adjustRightInd w:val="0"/>
              <w:snapToGrid w:val="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评审专家委员会</w:t>
            </w:r>
          </w:p>
          <w:p w14:paraId="60F55478">
            <w:pPr>
              <w:adjustRightInd w:val="0"/>
              <w:snapToGrid w:val="0"/>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意见</w:t>
            </w:r>
          </w:p>
        </w:tc>
        <w:tc>
          <w:tcPr>
            <w:tcW w:w="7513" w:type="dxa"/>
            <w:gridSpan w:val="5"/>
          </w:tcPr>
          <w:p w14:paraId="0807BB27">
            <w:pPr>
              <w:rPr>
                <w:sz w:val="32"/>
                <w:szCs w:val="32"/>
              </w:rPr>
            </w:pPr>
          </w:p>
        </w:tc>
      </w:tr>
    </w:tbl>
    <w:p w14:paraId="6D7D137F">
      <w:pPr>
        <w:rPr>
          <w:szCs w:val="21"/>
        </w:rPr>
      </w:pPr>
      <w:r>
        <w:rPr>
          <w:rFonts w:hint="eastAsia"/>
          <w:szCs w:val="21"/>
        </w:rPr>
        <w:t>备注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5D2867"/>
    <w:rsid w:val="00236CB5"/>
    <w:rsid w:val="00293C71"/>
    <w:rsid w:val="002F6DE5"/>
    <w:rsid w:val="003D0B90"/>
    <w:rsid w:val="00404352"/>
    <w:rsid w:val="00432DD9"/>
    <w:rsid w:val="00460F2A"/>
    <w:rsid w:val="0049481F"/>
    <w:rsid w:val="00563347"/>
    <w:rsid w:val="005D2867"/>
    <w:rsid w:val="006650A6"/>
    <w:rsid w:val="006705A6"/>
    <w:rsid w:val="006F14AB"/>
    <w:rsid w:val="00747B76"/>
    <w:rsid w:val="00783C81"/>
    <w:rsid w:val="007F41E2"/>
    <w:rsid w:val="0086323C"/>
    <w:rsid w:val="008B6A04"/>
    <w:rsid w:val="008D7741"/>
    <w:rsid w:val="00947EB3"/>
    <w:rsid w:val="0099212B"/>
    <w:rsid w:val="00A7561D"/>
    <w:rsid w:val="00AA1847"/>
    <w:rsid w:val="00BE11A5"/>
    <w:rsid w:val="00D11EA8"/>
    <w:rsid w:val="00F21D2D"/>
    <w:rsid w:val="00F40130"/>
    <w:rsid w:val="01E4322D"/>
    <w:rsid w:val="020C5109"/>
    <w:rsid w:val="027B1298"/>
    <w:rsid w:val="04464A46"/>
    <w:rsid w:val="06207D35"/>
    <w:rsid w:val="08F608B4"/>
    <w:rsid w:val="0B377026"/>
    <w:rsid w:val="0CB16402"/>
    <w:rsid w:val="11242C81"/>
    <w:rsid w:val="11610D59"/>
    <w:rsid w:val="15E33373"/>
    <w:rsid w:val="183F2B14"/>
    <w:rsid w:val="18AB01F3"/>
    <w:rsid w:val="2CCE2B14"/>
    <w:rsid w:val="34E61750"/>
    <w:rsid w:val="3B5073DC"/>
    <w:rsid w:val="3C612A9D"/>
    <w:rsid w:val="45CA1521"/>
    <w:rsid w:val="4A201EF6"/>
    <w:rsid w:val="4A5B223C"/>
    <w:rsid w:val="4A782F2B"/>
    <w:rsid w:val="523302EC"/>
    <w:rsid w:val="52A21F31"/>
    <w:rsid w:val="557F21C6"/>
    <w:rsid w:val="5B2B06FA"/>
    <w:rsid w:val="66F31DE6"/>
    <w:rsid w:val="687378C9"/>
    <w:rsid w:val="6B4A0729"/>
    <w:rsid w:val="73593759"/>
    <w:rsid w:val="78B00A90"/>
    <w:rsid w:val="7AD979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unhideWhenUsed/>
    <w:qFormat/>
    <w:uiPriority w:val="99"/>
    <w:pPr>
      <w:autoSpaceDE w:val="0"/>
      <w:autoSpaceDN w:val="0"/>
      <w:adjustRightInd w:val="0"/>
      <w:spacing w:line="240" w:lineRule="auto"/>
      <w:ind w:firstLine="0" w:firstLineChars="0"/>
      <w:jc w:val="left"/>
    </w:pPr>
    <w:rPr>
      <w:rFonts w:ascii="宋体" w:hAnsi="Calibri" w:eastAsia="宋体" w:cs="宋体"/>
      <w:sz w:val="22"/>
    </w:rPr>
  </w:style>
  <w:style w:type="paragraph" w:styleId="3">
    <w:name w:val="index 7"/>
    <w:basedOn w:val="1"/>
    <w:next w:val="1"/>
    <w:qFormat/>
    <w:uiPriority w:val="0"/>
    <w:pPr>
      <w:ind w:left="2520"/>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2141</Words>
  <Characters>2347</Characters>
  <Lines>2</Lines>
  <Paragraphs>1</Paragraphs>
  <TotalTime>2</TotalTime>
  <ScaleCrop>false</ScaleCrop>
  <LinksUpToDate>false</LinksUpToDate>
  <CharactersWithSpaces>2439</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2023-04-06T13:51:00Z</dcterms:created>
  <dc:creator>lili</dc:creator>
  <cp:lastModifiedBy>李莉</cp:lastModifiedBy>
  <cp:lastPrinted>2024-11-01T01:02:00Z</cp:lastPrinted>
  <dcterms:modified xsi:type="dcterms:W3CDTF">2024-12-02T14:08:51Z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6D80E359E1D9441FBB67129B1F8E0964_13</vt:lpwstr>
  </property>
</Properties>
</file>